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CellMar>
          <w:left w:w="0" w:type="dxa"/>
          <w:right w:w="0" w:type="dxa"/>
        </w:tblCellMar>
        <w:tblLook w:val="04A0" w:firstRow="1" w:lastRow="0" w:firstColumn="1" w:lastColumn="0" w:noHBand="0" w:noVBand="1"/>
      </w:tblPr>
      <w:tblGrid>
        <w:gridCol w:w="3686"/>
        <w:gridCol w:w="5812"/>
      </w:tblGrid>
      <w:tr w:rsidR="009C5538" w:rsidTr="009C5538">
        <w:tc>
          <w:tcPr>
            <w:tcW w:w="3686" w:type="dxa"/>
            <w:tcMar>
              <w:top w:w="0" w:type="dxa"/>
              <w:left w:w="108" w:type="dxa"/>
              <w:bottom w:w="0" w:type="dxa"/>
              <w:right w:w="108" w:type="dxa"/>
            </w:tcMar>
            <w:hideMark/>
          </w:tcPr>
          <w:p w:rsidR="009C5538" w:rsidRPr="009C5538" w:rsidRDefault="009C5538">
            <w:pPr>
              <w:pStyle w:val="NormalWeb"/>
              <w:spacing w:before="0" w:beforeAutospacing="0" w:after="0" w:afterAutospacing="0" w:line="330" w:lineRule="atLeast"/>
              <w:jc w:val="center"/>
              <w:rPr>
                <w:color w:val="222222"/>
                <w:sz w:val="26"/>
                <w:szCs w:val="26"/>
              </w:rPr>
            </w:pPr>
            <w:r w:rsidRPr="009C5538">
              <w:rPr>
                <w:rStyle w:val="Strong"/>
                <w:color w:val="222222"/>
                <w:sz w:val="26"/>
                <w:szCs w:val="26"/>
              </w:rPr>
              <w:t>THỦ TƯỚNG CHÍNH PHỦ</w:t>
            </w:r>
          </w:p>
          <w:p w:rsidR="009C5538" w:rsidRDefault="009C5538">
            <w:pPr>
              <w:pStyle w:val="NormalWeb"/>
              <w:spacing w:before="0" w:beforeAutospacing="0" w:after="0" w:afterAutospacing="0" w:line="330" w:lineRule="atLeast"/>
              <w:jc w:val="center"/>
              <w:rPr>
                <w:color w:val="222222"/>
                <w:sz w:val="26"/>
                <w:szCs w:val="26"/>
              </w:rPr>
            </w:pPr>
            <w:r>
              <w:rPr>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350774</wp:posOffset>
                      </wp:positionH>
                      <wp:positionV relativeFrom="paragraph">
                        <wp:posOffset>39167</wp:posOffset>
                      </wp:positionV>
                      <wp:extent cx="1375258"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13752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6pt,3.1pt" to="135.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" strokecolor="black [3040]"/>
                  </w:pict>
                </mc:Fallback>
              </mc:AlternateContent>
            </w:r>
          </w:p>
          <w:p w:rsidR="009C5538" w:rsidRPr="009C5538" w:rsidRDefault="009C5538">
            <w:pPr>
              <w:pStyle w:val="NormalWeb"/>
              <w:spacing w:before="0" w:beforeAutospacing="0" w:after="0" w:afterAutospacing="0" w:line="330" w:lineRule="atLeast"/>
              <w:jc w:val="center"/>
              <w:rPr>
                <w:sz w:val="26"/>
                <w:szCs w:val="26"/>
              </w:rPr>
            </w:pPr>
            <w:r w:rsidRPr="009C5538">
              <w:rPr>
                <w:color w:val="222222"/>
                <w:sz w:val="26"/>
                <w:szCs w:val="26"/>
              </w:rPr>
              <w:t>Số: 26/2019/QĐ-TTg</w:t>
            </w:r>
          </w:p>
        </w:tc>
        <w:tc>
          <w:tcPr>
            <w:tcW w:w="5812" w:type="dxa"/>
            <w:tcMar>
              <w:top w:w="0" w:type="dxa"/>
              <w:left w:w="108" w:type="dxa"/>
              <w:bottom w:w="0" w:type="dxa"/>
              <w:right w:w="108" w:type="dxa"/>
            </w:tcMar>
            <w:hideMark/>
          </w:tcPr>
          <w:p w:rsidR="009C5538" w:rsidRPr="009C5538" w:rsidRDefault="009C5538" w:rsidP="009C5538">
            <w:pPr>
              <w:pStyle w:val="NormalWeb"/>
              <w:spacing w:before="0" w:beforeAutospacing="0" w:after="0" w:afterAutospacing="0" w:line="330" w:lineRule="atLeast"/>
              <w:ind w:right="-161"/>
              <w:jc w:val="center"/>
              <w:rPr>
                <w:color w:val="222222"/>
                <w:sz w:val="26"/>
                <w:szCs w:val="26"/>
              </w:rPr>
            </w:pPr>
            <w:r>
              <w:rPr>
                <w:rStyle w:val="Strong"/>
                <w:color w:val="222222"/>
                <w:sz w:val="26"/>
                <w:szCs w:val="26"/>
              </w:rPr>
              <w:t xml:space="preserve">CỘNG HÒA XÃ HỘI CHỦ NGHĨA VIỆT </w:t>
            </w:r>
            <w:r w:rsidRPr="009C5538">
              <w:rPr>
                <w:rStyle w:val="Strong"/>
                <w:color w:val="222222"/>
                <w:sz w:val="26"/>
                <w:szCs w:val="26"/>
              </w:rPr>
              <w:t>NAM</w:t>
            </w:r>
          </w:p>
          <w:p w:rsidR="009C5538" w:rsidRPr="009C5538" w:rsidRDefault="009C5538">
            <w:pPr>
              <w:pStyle w:val="NormalWeb"/>
              <w:spacing w:before="0" w:beforeAutospacing="0" w:after="0" w:afterAutospacing="0" w:line="330" w:lineRule="atLeast"/>
              <w:jc w:val="center"/>
              <w:rPr>
                <w:color w:val="222222"/>
                <w:sz w:val="26"/>
                <w:szCs w:val="26"/>
              </w:rPr>
            </w:pPr>
            <w:r w:rsidRPr="009C5538">
              <w:rPr>
                <w:rStyle w:val="Strong"/>
                <w:color w:val="222222"/>
                <w:sz w:val="26"/>
                <w:szCs w:val="26"/>
              </w:rPr>
              <w:t>Độc lập – Tự do – Hạnh phúc</w:t>
            </w:r>
          </w:p>
          <w:p w:rsidR="009C5538" w:rsidRDefault="009C5538">
            <w:pPr>
              <w:pStyle w:val="NormalWeb"/>
              <w:spacing w:before="0" w:beforeAutospacing="0" w:after="0" w:afterAutospacing="0" w:line="330" w:lineRule="atLeast"/>
              <w:jc w:val="right"/>
              <w:rPr>
                <w:rStyle w:val="Emphasis"/>
                <w:color w:val="222222"/>
                <w:sz w:val="26"/>
                <w:szCs w:val="26"/>
              </w:rPr>
            </w:pPr>
            <w:r>
              <w:rPr>
                <w:i/>
                <w:iCs/>
                <w:noProof/>
                <w:color w:val="222222"/>
                <w:sz w:val="26"/>
                <w:szCs w:val="26"/>
              </w:rPr>
              <mc:AlternateContent>
                <mc:Choice Requires="wps">
                  <w:drawing>
                    <wp:anchor distT="0" distB="0" distL="114300" distR="114300" simplePos="0" relativeHeight="251660288" behindDoc="0" locked="0" layoutInCell="1" allowOverlap="1">
                      <wp:simplePos x="0" y="0"/>
                      <wp:positionH relativeFrom="column">
                        <wp:posOffset>1053287</wp:posOffset>
                      </wp:positionH>
                      <wp:positionV relativeFrom="paragraph">
                        <wp:posOffset>71018</wp:posOffset>
                      </wp:positionV>
                      <wp:extent cx="144841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448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95pt,5.6pt" to="19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" strokecolor="black [3040]"/>
                  </w:pict>
                </mc:Fallback>
              </mc:AlternateContent>
            </w:r>
          </w:p>
          <w:p w:rsidR="009C5538" w:rsidRPr="009C5538" w:rsidRDefault="009C5538">
            <w:pPr>
              <w:pStyle w:val="NormalWeb"/>
              <w:spacing w:before="0" w:beforeAutospacing="0" w:after="0" w:afterAutospacing="0" w:line="330" w:lineRule="atLeast"/>
              <w:jc w:val="right"/>
              <w:rPr>
                <w:color w:val="222222"/>
                <w:sz w:val="26"/>
                <w:szCs w:val="26"/>
              </w:rPr>
            </w:pPr>
            <w:r w:rsidRPr="009C5538">
              <w:rPr>
                <w:rStyle w:val="Emphasis"/>
                <w:color w:val="222222"/>
                <w:sz w:val="26"/>
                <w:szCs w:val="26"/>
              </w:rPr>
              <w:t>Hà Nội, ngày 15 tháng 8 năm 2019</w:t>
            </w:r>
          </w:p>
        </w:tc>
      </w:tr>
    </w:tbl>
    <w:p w:rsidR="009C5538" w:rsidRDefault="009C5538" w:rsidP="009C5538">
      <w:pPr>
        <w:pStyle w:val="NormalWeb"/>
        <w:spacing w:before="0" w:beforeAutospacing="0" w:after="0" w:afterAutospacing="0"/>
        <w:jc w:val="center"/>
        <w:rPr>
          <w:sz w:val="28"/>
          <w:szCs w:val="28"/>
        </w:rPr>
      </w:pPr>
      <w:r>
        <w:rPr>
          <w:sz w:val="28"/>
          <w:szCs w:val="28"/>
        </w:rPr>
        <w:t> </w:t>
      </w:r>
    </w:p>
    <w:p w:rsidR="009C5538" w:rsidRDefault="009C5538" w:rsidP="009C5538">
      <w:pPr>
        <w:pStyle w:val="NormalWeb"/>
        <w:spacing w:before="0" w:beforeAutospacing="0" w:after="0" w:afterAutospacing="0"/>
        <w:jc w:val="center"/>
        <w:rPr>
          <w:sz w:val="28"/>
          <w:szCs w:val="28"/>
        </w:rPr>
      </w:pPr>
      <w:r>
        <w:rPr>
          <w:sz w:val="28"/>
          <w:szCs w:val="28"/>
        </w:rPr>
        <w:t> </w:t>
      </w:r>
    </w:p>
    <w:p w:rsidR="009C5538" w:rsidRDefault="009C5538" w:rsidP="009C5538">
      <w:pPr>
        <w:pStyle w:val="NormalWeb"/>
        <w:spacing w:before="0" w:beforeAutospacing="0" w:after="0" w:afterAutospacing="0"/>
        <w:jc w:val="center"/>
        <w:rPr>
          <w:sz w:val="28"/>
          <w:szCs w:val="28"/>
        </w:rPr>
      </w:pPr>
      <w:r>
        <w:rPr>
          <w:rStyle w:val="Strong"/>
          <w:color w:val="000000"/>
          <w:sz w:val="28"/>
          <w:szCs w:val="28"/>
        </w:rPr>
        <w:t>QUYẾT ĐỊNH</w:t>
      </w:r>
    </w:p>
    <w:p w:rsidR="009C5538" w:rsidRDefault="009C5538" w:rsidP="009C5538">
      <w:pPr>
        <w:pStyle w:val="NormalWeb"/>
        <w:spacing w:before="0" w:beforeAutospacing="0" w:after="0" w:afterAutospacing="0"/>
        <w:jc w:val="center"/>
        <w:rPr>
          <w:sz w:val="28"/>
          <w:szCs w:val="28"/>
        </w:rPr>
      </w:pPr>
      <w:proofErr w:type="gramStart"/>
      <w:r>
        <w:rPr>
          <w:rStyle w:val="Strong"/>
          <w:color w:val="000000"/>
          <w:sz w:val="28"/>
          <w:szCs w:val="28"/>
        </w:rPr>
        <w:t>về</w:t>
      </w:r>
      <w:proofErr w:type="gramEnd"/>
      <w:r>
        <w:rPr>
          <w:color w:val="000000"/>
          <w:sz w:val="28"/>
          <w:szCs w:val="28"/>
        </w:rPr>
        <w:t> </w:t>
      </w:r>
      <w:r>
        <w:rPr>
          <w:rStyle w:val="Strong"/>
          <w:color w:val="000000"/>
          <w:sz w:val="28"/>
          <w:szCs w:val="28"/>
        </w:rPr>
        <w:t>việc phê duyệt Da</w:t>
      </w:r>
      <w:r>
        <w:rPr>
          <w:rStyle w:val="Strong"/>
        </w:rPr>
        <w:t>nh mục doanh nghiệp</w:t>
      </w:r>
      <w:r>
        <w:rPr>
          <w:b/>
          <w:bCs/>
          <w:sz w:val="28"/>
          <w:szCs w:val="28"/>
        </w:rPr>
        <w:t xml:space="preserve"> </w:t>
      </w:r>
      <w:r>
        <w:rPr>
          <w:rStyle w:val="Strong"/>
          <w:sz w:val="28"/>
          <w:szCs w:val="28"/>
        </w:rPr>
        <w:t>thực hiện cổ</w:t>
      </w:r>
      <w:r>
        <w:rPr>
          <w:rStyle w:val="Strong"/>
        </w:rPr>
        <w:t> phần hóa đến hết năm 2020</w:t>
      </w:r>
    </w:p>
    <w:p w:rsidR="009C5538" w:rsidRDefault="009C5538" w:rsidP="009C5538">
      <w:pPr>
        <w:pStyle w:val="NormalWeb"/>
        <w:spacing w:before="0" w:beforeAutospacing="0" w:after="0" w:afterAutospacing="0"/>
        <w:jc w:val="center"/>
        <w:rPr>
          <w:sz w:val="28"/>
          <w:szCs w:val="28"/>
        </w:rPr>
      </w:pPr>
      <w:r>
        <w:rPr>
          <w:sz w:val="28"/>
          <w:szCs w:val="28"/>
        </w:rPr>
        <w:t> </w:t>
      </w:r>
    </w:p>
    <w:p w:rsidR="009C5538" w:rsidRDefault="009C5538" w:rsidP="009C5538">
      <w:pPr>
        <w:pStyle w:val="NormalWeb"/>
        <w:spacing w:before="0" w:beforeAutospacing="0" w:after="120" w:afterAutospacing="0"/>
        <w:ind w:firstLine="720"/>
        <w:jc w:val="both"/>
        <w:rPr>
          <w:sz w:val="28"/>
          <w:szCs w:val="28"/>
        </w:rPr>
      </w:pPr>
      <w:r>
        <w:rPr>
          <w:rStyle w:val="Emphasis"/>
          <w:color w:val="000000"/>
          <w:sz w:val="28"/>
          <w:szCs w:val="28"/>
        </w:rPr>
        <w:t>Căn cứ </w:t>
      </w:r>
      <w:r w:rsidR="0092124F">
        <w:rPr>
          <w:i/>
          <w:iCs/>
          <w:sz w:val="28"/>
          <w:szCs w:val="28"/>
        </w:rPr>
        <w:t xml:space="preserve">Luật tổ chức Chính phủ </w:t>
      </w:r>
      <w:r>
        <w:rPr>
          <w:rStyle w:val="Emphasis"/>
          <w:color w:val="000000"/>
          <w:sz w:val="28"/>
          <w:szCs w:val="28"/>
        </w:rPr>
        <w:t>ngày 19 tháng 6 năm 2015;</w:t>
      </w:r>
    </w:p>
    <w:p w:rsidR="009C5538" w:rsidRDefault="009C5538" w:rsidP="009C5538">
      <w:pPr>
        <w:pStyle w:val="NormalWeb"/>
        <w:spacing w:before="0" w:beforeAutospacing="0" w:after="120" w:afterAutospacing="0"/>
        <w:ind w:firstLine="720"/>
        <w:jc w:val="both"/>
        <w:rPr>
          <w:sz w:val="28"/>
          <w:szCs w:val="28"/>
        </w:rPr>
      </w:pPr>
      <w:r>
        <w:rPr>
          <w:rStyle w:val="Emphasis"/>
          <w:color w:val="000000"/>
          <w:sz w:val="28"/>
          <w:szCs w:val="28"/>
        </w:rPr>
        <w:t>Căn cứ </w:t>
      </w:r>
      <w:r w:rsidR="0092124F">
        <w:rPr>
          <w:i/>
          <w:iCs/>
          <w:sz w:val="28"/>
          <w:szCs w:val="28"/>
        </w:rPr>
        <w:t>Luật doanh nghiệp</w:t>
      </w:r>
      <w:r>
        <w:rPr>
          <w:rStyle w:val="Emphasis"/>
          <w:color w:val="000000"/>
          <w:sz w:val="28"/>
          <w:szCs w:val="28"/>
        </w:rPr>
        <w:t>ngày 26 tháng 11 năm 2014;</w:t>
      </w:r>
    </w:p>
    <w:p w:rsidR="009C5538" w:rsidRPr="0092124F" w:rsidRDefault="009C5538" w:rsidP="0092124F">
      <w:pPr>
        <w:pStyle w:val="NormalWeb"/>
        <w:spacing w:before="0" w:beforeAutospacing="0" w:after="120" w:afterAutospacing="0"/>
        <w:ind w:firstLine="720"/>
        <w:jc w:val="both"/>
        <w:rPr>
          <w:i/>
          <w:iCs/>
          <w:color w:val="0000FF"/>
          <w:sz w:val="28"/>
          <w:szCs w:val="28"/>
          <w:u w:val="single"/>
        </w:rPr>
      </w:pPr>
      <w:r>
        <w:rPr>
          <w:rStyle w:val="Emphasis"/>
          <w:color w:val="000000"/>
          <w:sz w:val="28"/>
          <w:szCs w:val="28"/>
        </w:rPr>
        <w:t>Căn cứ </w:t>
      </w:r>
      <w:r w:rsidRPr="0092124F">
        <w:rPr>
          <w:i/>
          <w:iCs/>
          <w:sz w:val="28"/>
          <w:szCs w:val="28"/>
        </w:rPr>
        <w:t>Luật quản lý, sử dụng vốn nhà nước đầu tư vào sản xuất, kinh doanh tại doanh nghiệp</w:t>
      </w:r>
      <w:r>
        <w:rPr>
          <w:rStyle w:val="Emphasis"/>
          <w:color w:val="000000"/>
          <w:sz w:val="28"/>
          <w:szCs w:val="28"/>
        </w:rPr>
        <w:t> ngày 26 tháng 11 năm 2014;</w:t>
      </w:r>
    </w:p>
    <w:p w:rsidR="009C5538" w:rsidRDefault="009C5538" w:rsidP="009C5538">
      <w:pPr>
        <w:pStyle w:val="NormalWeb"/>
        <w:spacing w:before="0" w:beforeAutospacing="0" w:after="120" w:afterAutospacing="0"/>
        <w:ind w:firstLine="720"/>
        <w:jc w:val="both"/>
        <w:rPr>
          <w:sz w:val="28"/>
          <w:szCs w:val="28"/>
        </w:rPr>
      </w:pPr>
      <w:r>
        <w:rPr>
          <w:rStyle w:val="Emphasis"/>
          <w:color w:val="000000"/>
          <w:sz w:val="28"/>
          <w:szCs w:val="28"/>
        </w:rPr>
        <w:t>Thực hiện </w:t>
      </w:r>
      <w:r w:rsidRPr="0092124F">
        <w:rPr>
          <w:i/>
          <w:iCs/>
          <w:sz w:val="28"/>
          <w:szCs w:val="28"/>
        </w:rPr>
        <w:t>Quyết định số 58/2016/QĐ-TTg</w:t>
      </w:r>
      <w:r>
        <w:rPr>
          <w:rStyle w:val="Emphasis"/>
          <w:color w:val="000000"/>
          <w:sz w:val="28"/>
          <w:szCs w:val="28"/>
        </w:rPr>
        <w:t xml:space="preserve"> ngày 28 tháng 12 năm 2016 về tiêu chí phân loại doanh nghiệp nhà nước, doanh nghiệp có vốn nhà nước và Danh </w:t>
      </w:r>
      <w:bookmarkStart w:id="0" w:name="_GoBack"/>
      <w:bookmarkEnd w:id="0"/>
      <w:r>
        <w:rPr>
          <w:rStyle w:val="Emphasis"/>
          <w:color w:val="000000"/>
          <w:sz w:val="28"/>
          <w:szCs w:val="28"/>
        </w:rPr>
        <w:t>mục doanh nghiệp nhà nước thực hiện sắp xếp giai đoạn 2016 - 2020;</w:t>
      </w:r>
    </w:p>
    <w:p w:rsidR="009C5538" w:rsidRDefault="009C5538" w:rsidP="009C5538">
      <w:pPr>
        <w:pStyle w:val="NormalWeb"/>
        <w:spacing w:before="0" w:beforeAutospacing="0" w:after="120" w:afterAutospacing="0"/>
        <w:ind w:firstLine="720"/>
        <w:jc w:val="both"/>
        <w:rPr>
          <w:sz w:val="28"/>
          <w:szCs w:val="28"/>
        </w:rPr>
      </w:pPr>
      <w:r>
        <w:rPr>
          <w:rStyle w:val="Emphasis"/>
          <w:sz w:val="28"/>
          <w:szCs w:val="28"/>
        </w:rPr>
        <w:t>Theo đề nghị của Bộ trưởng Bộ Kế</w:t>
      </w:r>
      <w:r>
        <w:rPr>
          <w:rStyle w:val="Emphasis"/>
        </w:rPr>
        <w:t> hoạch và Đầu tư;</w:t>
      </w:r>
    </w:p>
    <w:p w:rsidR="009C5538" w:rsidRDefault="009C5538" w:rsidP="009C5538">
      <w:pPr>
        <w:pStyle w:val="NormalWeb"/>
        <w:spacing w:before="0" w:beforeAutospacing="0" w:after="120" w:afterAutospacing="0"/>
        <w:ind w:firstLine="720"/>
        <w:jc w:val="both"/>
        <w:rPr>
          <w:sz w:val="28"/>
          <w:szCs w:val="28"/>
        </w:rPr>
      </w:pPr>
      <w:r>
        <w:rPr>
          <w:rStyle w:val="Emphasis"/>
          <w:sz w:val="28"/>
          <w:szCs w:val="28"/>
        </w:rPr>
        <w:t>Thủ tướng Chính phủ</w:t>
      </w:r>
      <w:r>
        <w:rPr>
          <w:rStyle w:val="Emphasis"/>
        </w:rPr>
        <w:t> ban hành Quyết định về việc phê duyệt Danh mục doanh nghiệp thực hiện cổ phần hóa đến hết năm 2020.</w:t>
      </w:r>
    </w:p>
    <w:p w:rsidR="009C5538" w:rsidRDefault="009C5538" w:rsidP="009C5538">
      <w:pPr>
        <w:pStyle w:val="NormalWeb"/>
        <w:spacing w:before="0" w:beforeAutospacing="0" w:after="120" w:afterAutospacing="0"/>
        <w:ind w:firstLine="720"/>
        <w:rPr>
          <w:sz w:val="28"/>
          <w:szCs w:val="28"/>
        </w:rPr>
      </w:pPr>
      <w:proofErr w:type="gramStart"/>
      <w:r>
        <w:rPr>
          <w:rStyle w:val="Strong"/>
          <w:color w:val="000000"/>
          <w:sz w:val="28"/>
          <w:szCs w:val="28"/>
        </w:rPr>
        <w:t>Điều 1.</w:t>
      </w:r>
      <w:proofErr w:type="gramEnd"/>
      <w:r>
        <w:rPr>
          <w:rStyle w:val="Strong"/>
          <w:color w:val="000000"/>
          <w:sz w:val="28"/>
          <w:szCs w:val="28"/>
        </w:rPr>
        <w:t xml:space="preserve"> Phạm </w:t>
      </w:r>
      <w:proofErr w:type="gramStart"/>
      <w:r>
        <w:rPr>
          <w:rStyle w:val="Strong"/>
          <w:color w:val="000000"/>
          <w:sz w:val="28"/>
          <w:szCs w:val="28"/>
        </w:rPr>
        <w:t>vi</w:t>
      </w:r>
      <w:proofErr w:type="gramEnd"/>
      <w:r>
        <w:rPr>
          <w:rStyle w:val="Strong"/>
          <w:color w:val="000000"/>
          <w:sz w:val="28"/>
          <w:szCs w:val="28"/>
        </w:rPr>
        <w:t xml:space="preserve"> điều chỉnh</w:t>
      </w:r>
    </w:p>
    <w:p w:rsidR="009C5538" w:rsidRDefault="009C5538" w:rsidP="009C5538">
      <w:pPr>
        <w:pStyle w:val="NormalWeb"/>
        <w:spacing w:before="0" w:beforeAutospacing="0" w:after="120" w:afterAutospacing="0"/>
        <w:ind w:firstLine="720"/>
        <w:rPr>
          <w:sz w:val="28"/>
          <w:szCs w:val="28"/>
        </w:rPr>
      </w:pPr>
      <w:proofErr w:type="gramStart"/>
      <w:r>
        <w:rPr>
          <w:color w:val="000000"/>
          <w:sz w:val="28"/>
          <w:szCs w:val="28"/>
        </w:rPr>
        <w:t>Quyết định này quy định về Danh mục doanh nghiệp thực hiện cổ phần hóa đến hết năm 2020.</w:t>
      </w:r>
      <w:proofErr w:type="gramEnd"/>
    </w:p>
    <w:p w:rsidR="009C5538" w:rsidRPr="009C5538" w:rsidRDefault="009C5538" w:rsidP="009C5538">
      <w:pPr>
        <w:pStyle w:val="NormalWeb"/>
        <w:spacing w:before="0" w:beforeAutospacing="0" w:after="120" w:afterAutospacing="0"/>
        <w:ind w:firstLine="720"/>
        <w:rPr>
          <w:sz w:val="28"/>
          <w:szCs w:val="28"/>
        </w:rPr>
      </w:pPr>
      <w:proofErr w:type="gramStart"/>
      <w:r w:rsidRPr="009C5538">
        <w:rPr>
          <w:rStyle w:val="Strong"/>
          <w:color w:val="000000"/>
          <w:sz w:val="28"/>
          <w:szCs w:val="28"/>
        </w:rPr>
        <w:t>Điều 2.</w:t>
      </w:r>
      <w:proofErr w:type="gramEnd"/>
      <w:r w:rsidRPr="009C5538">
        <w:rPr>
          <w:rStyle w:val="Strong"/>
          <w:color w:val="000000"/>
          <w:sz w:val="28"/>
          <w:szCs w:val="28"/>
        </w:rPr>
        <w:t xml:space="preserve"> Đối tượng áp dụng</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1. Doanh nghiệp nhà nước do Thủ tướng Chính phủ, Bộ trưởng các bộ, Thủ trưởng cơ quan ngang bộ, Thủ trưởng cơ quan thuộc Chính phủ (sau đây gọi là Bộ quản lý ngành), Chủ tịch Ủy ban nhân dân các tỉnh, thành phố trực thuộc trung ương (sau đây gọi là Ủy ban nhân dân cấp tỉnh) quyết định thành lập; người đại diện phần vốn nhà nước đầu tư tại công ty cổ phần, công ty trách nhiệm hữu hạn hai thành viên trở lên do Bộ quản lý ngành, ủy ban nhân dân cấp tỉnh nắm giữ cổ phần, vốn góp.</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2. Công ty trách nhiệm hữu hạn một thành viên do Hội đồng thành viên tập đoàn kinh tế, tổng công ty nhà nước quyết định thành lập; người đại diện phần vốn góp của tập đoàn kinh tế, tổng công ty tại công ty cổ phần, công ty trách nhiệm hữu hạn hai thành viên trở lên.</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3. Cơ quan, tổ chức, cá nhân khác có liên quan đến việc sắp xếp, đổi mới doanh nghiệp nhà nước, doanh nghiệp có vốn nhà nước.</w:t>
      </w:r>
    </w:p>
    <w:p w:rsidR="009C5538" w:rsidRPr="009C5538" w:rsidRDefault="009C5538" w:rsidP="009C5538">
      <w:pPr>
        <w:pStyle w:val="NormalWeb"/>
        <w:spacing w:before="0" w:beforeAutospacing="0" w:after="120" w:afterAutospacing="0"/>
        <w:ind w:firstLine="720"/>
        <w:jc w:val="both"/>
        <w:rPr>
          <w:sz w:val="28"/>
          <w:szCs w:val="28"/>
        </w:rPr>
      </w:pPr>
      <w:proofErr w:type="gramStart"/>
      <w:r w:rsidRPr="009C5538">
        <w:rPr>
          <w:rStyle w:val="Strong"/>
          <w:color w:val="000000"/>
          <w:sz w:val="28"/>
          <w:szCs w:val="28"/>
        </w:rPr>
        <w:lastRenderedPageBreak/>
        <w:t>Điều 3.</w:t>
      </w:r>
      <w:proofErr w:type="gramEnd"/>
      <w:r w:rsidRPr="009C5538">
        <w:rPr>
          <w:rStyle w:val="Strong"/>
          <w:color w:val="000000"/>
          <w:sz w:val="28"/>
          <w:szCs w:val="28"/>
        </w:rPr>
        <w:t xml:space="preserve"> Tổ chức thực hiện</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1. Bộ trưởng Bộ quản lý ngành, Chủ tịch Ủy ban nhân dân cấp tỉnh, Hội đồng thành viên tập đoàn kinh tế, tổng công ty có trách nhiệm sau:</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 xml:space="preserve">a) Căn cứ Phụ lục Danh mục doanh nghiệp thực hiện cổ phần hóa đến hết năm 2020 ban hành kèm </w:t>
      </w:r>
      <w:proofErr w:type="gramStart"/>
      <w:r w:rsidRPr="009C5538">
        <w:rPr>
          <w:sz w:val="28"/>
          <w:szCs w:val="28"/>
        </w:rPr>
        <w:t>theo</w:t>
      </w:r>
      <w:proofErr w:type="gramEnd"/>
      <w:r w:rsidRPr="009C5538">
        <w:rPr>
          <w:sz w:val="28"/>
          <w:szCs w:val="28"/>
        </w:rPr>
        <w:t xml:space="preserve"> Quyết định này để tổ chức, triển khai thực hiện cổ phần hóa (hoàn thành công bố giá trị doanh nghiệp) đúng kế hoạch.</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 xml:space="preserve">b) Xây dựng lộ trình tiếp tục bán phần vốn nhà nước tại các doanh nghiệp sau khi cổ phần hóa đảm bảo phù hợp với tiêu chí tại Phụ lục I ban hành kèm </w:t>
      </w:r>
      <w:proofErr w:type="gramStart"/>
      <w:r w:rsidRPr="009C5538">
        <w:rPr>
          <w:sz w:val="28"/>
          <w:szCs w:val="28"/>
        </w:rPr>
        <w:t>theo</w:t>
      </w:r>
      <w:proofErr w:type="gramEnd"/>
      <w:r w:rsidRPr="009C5538">
        <w:rPr>
          <w:sz w:val="28"/>
          <w:szCs w:val="28"/>
        </w:rPr>
        <w:t xml:space="preserve"> Quyết định số 58/2016/QĐ-TTg về tiêu chí phân loại doanh nghiệp nhà nước, doanh nghiệp có vốn nhà nước theo quy định.</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c) Báo cáo Thủ tướng Chính phủ xem xét, quyết định việc điều chỉnh tỷ lệ vốn nhà nước nắm giữ tại các doanh nghiệp sản xuất và cung ứng sản phẩm, dịch vụ công ích; những trường hợp đặc thù, có vai trò quan trọng trong phát triển kinh tế tại địa phương, phục vụ chiến lược phát triển ngành và các trường hợp đặc thù khác.</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d) Báo cáo Thủ tướng Chính phủ xem xét, quyết định đối với trường hợp Nhà nước cần nắm giữ từ 36% đến 50% vốn điều lệ khi thực hiện cổ phần hóa các doanh nghiệp thuộc diện Nhà nước nắm giữ từ 50% vốn điều lệ trở xuống hoặc không nắm giữ cổ phần.</w:t>
      </w:r>
    </w:p>
    <w:p w:rsidR="009C5538" w:rsidRPr="009C5538" w:rsidRDefault="009C5538" w:rsidP="009C5538">
      <w:pPr>
        <w:pStyle w:val="NormalWeb"/>
        <w:spacing w:before="0" w:beforeAutospacing="0" w:after="120" w:afterAutospacing="0"/>
        <w:ind w:firstLine="720"/>
        <w:jc w:val="both"/>
        <w:rPr>
          <w:sz w:val="28"/>
          <w:szCs w:val="28"/>
        </w:rPr>
      </w:pPr>
      <w:r w:rsidRPr="009C5538">
        <w:rPr>
          <w:color w:val="000000"/>
          <w:sz w:val="28"/>
          <w:szCs w:val="28"/>
        </w:rPr>
        <w:t>đ) Định kỳ hằng quý và trước ngày 30 tháng 9 năm 2020 báo cáo kết quả thực hiện cổ phần hóa doanh nghiệp quy định tại Phụ lục ban hành kèm theo Quyết định này để gửi Bộ Kế hoạch và Đầu tư, Bộ Tài chính và Ban Chỉ đạo Đổi mới và Phát triển doanh nghiệp tổng hợp, báo cáo Thủ tướng Chính phủ theo chức năng, nhiệm vụ được giao.</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 xml:space="preserve">e) Chịu trách nhiệm về việc không hoàn thành cổ phần hóa </w:t>
      </w:r>
      <w:proofErr w:type="gramStart"/>
      <w:r w:rsidRPr="009C5538">
        <w:rPr>
          <w:sz w:val="28"/>
          <w:szCs w:val="28"/>
        </w:rPr>
        <w:t>theo</w:t>
      </w:r>
      <w:proofErr w:type="gramEnd"/>
      <w:r w:rsidRPr="009C5538">
        <w:rPr>
          <w:sz w:val="28"/>
          <w:szCs w:val="28"/>
        </w:rPr>
        <w:t xml:space="preserve"> đúng tiến độ quy định tại Quyết định này.</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2. Bộ Kế hoạch và Đầu tư có trách nhiệm:</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a) Tổng hợp kết quả thực hiện sắp xếp doanh nghiệp nhà nước trên phạm vi cả nước đến năm 2020 và đề xuất phương án sắp xếp doanh nghiệp giai đoạn 2021 - 2025 để báo cáo Thủ tướng Chính phủ.</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b) Theo dõi, hướng dẫn, đôn đốc bộ, ngành, địa phương, tập đoàn kinh tế và tổng công ty thực hiện Quyết định này.</w:t>
      </w:r>
    </w:p>
    <w:p w:rsidR="009C5538" w:rsidRPr="009C5538" w:rsidRDefault="009C5538" w:rsidP="009C5538">
      <w:pPr>
        <w:pStyle w:val="NormalWeb"/>
        <w:spacing w:before="0" w:beforeAutospacing="0" w:after="120" w:afterAutospacing="0"/>
        <w:ind w:firstLine="720"/>
        <w:jc w:val="both"/>
        <w:rPr>
          <w:sz w:val="28"/>
          <w:szCs w:val="28"/>
        </w:rPr>
      </w:pPr>
      <w:proofErr w:type="gramStart"/>
      <w:r w:rsidRPr="009C5538">
        <w:rPr>
          <w:rStyle w:val="Strong"/>
          <w:color w:val="000000"/>
          <w:sz w:val="28"/>
          <w:szCs w:val="28"/>
        </w:rPr>
        <w:t>Điều 4.</w:t>
      </w:r>
      <w:proofErr w:type="gramEnd"/>
      <w:r w:rsidRPr="009C5538">
        <w:rPr>
          <w:rStyle w:val="Strong"/>
          <w:color w:val="000000"/>
          <w:sz w:val="28"/>
          <w:szCs w:val="28"/>
        </w:rPr>
        <w:t xml:space="preserve"> Trách nhiệm thi hành</w:t>
      </w:r>
    </w:p>
    <w:p w:rsidR="009C5538" w:rsidRPr="009C5538" w:rsidRDefault="009C5538" w:rsidP="009C5538">
      <w:pPr>
        <w:pStyle w:val="NormalWeb"/>
        <w:spacing w:before="0" w:beforeAutospacing="0" w:after="120" w:afterAutospacing="0"/>
        <w:ind w:firstLine="720"/>
        <w:jc w:val="both"/>
        <w:rPr>
          <w:sz w:val="28"/>
          <w:szCs w:val="28"/>
        </w:rPr>
      </w:pPr>
      <w:r w:rsidRPr="009C5538">
        <w:rPr>
          <w:sz w:val="28"/>
          <w:szCs w:val="28"/>
        </w:rPr>
        <w:t>1. Quyết định này có hiệu lực thi hành kể từ ngày ký ban hành và bãi bỏ mục II, III, IV Phụ lục số II</w:t>
      </w:r>
      <w:r w:rsidRPr="009C5538">
        <w:rPr>
          <w:color w:val="000000"/>
          <w:sz w:val="28"/>
          <w:szCs w:val="28"/>
        </w:rPr>
        <w:t>a, </w:t>
      </w:r>
      <w:r w:rsidRPr="009C5538">
        <w:rPr>
          <w:sz w:val="28"/>
          <w:szCs w:val="28"/>
        </w:rPr>
        <w:t>IIb ban hành kèm theo </w:t>
      </w:r>
      <w:r w:rsidR="0092124F">
        <w:rPr>
          <w:sz w:val="28"/>
          <w:szCs w:val="28"/>
        </w:rPr>
        <w:t xml:space="preserve">Quyết định số 56/2016/QĐ-TTg </w:t>
      </w:r>
      <w:r w:rsidRPr="009C5538">
        <w:rPr>
          <w:sz w:val="28"/>
          <w:szCs w:val="28"/>
        </w:rPr>
        <w:lastRenderedPageBreak/>
        <w:t>ngày 28 tháng 12 năm 2016 về tiêu chí phân loại doanh nghiệp nhà nước, doanh nghiệp có vốn nhà nước và Danh mục doanh nghiệp nhà nước thực hiện sắp xếp giai đoạn 2016 - 2020.</w:t>
      </w:r>
    </w:p>
    <w:p w:rsidR="009C5538" w:rsidRPr="009C5538" w:rsidRDefault="009C5538" w:rsidP="009C5538">
      <w:pPr>
        <w:pStyle w:val="NormalWeb"/>
        <w:spacing w:before="0" w:beforeAutospacing="0"/>
        <w:ind w:firstLine="720"/>
        <w:jc w:val="both"/>
        <w:rPr>
          <w:sz w:val="28"/>
          <w:szCs w:val="28"/>
        </w:rPr>
      </w:pPr>
      <w:r w:rsidRPr="009C5538">
        <w:rPr>
          <w:sz w:val="28"/>
          <w:szCs w:val="28"/>
        </w:rPr>
        <w:t>2. Bộ trưởng Bộ quản lý ngành, Chủ tịch Ủy ban nhân dân cấp tỉnh, Hội đồng thành viên tập đoàn kinh tế và tổng công ty có trách nhiệm thi hành Quyết định này</w:t>
      </w:r>
      <w:proofErr w:type="gramStart"/>
      <w:r w:rsidRPr="009C5538">
        <w:rPr>
          <w:sz w:val="28"/>
          <w:szCs w:val="28"/>
        </w:rPr>
        <w:t>./</w:t>
      </w:r>
      <w:proofErr w:type="gramEnd"/>
      <w:r w:rsidRPr="009C5538">
        <w:rPr>
          <w:sz w:val="28"/>
          <w:szCs w:val="28"/>
        </w:rPr>
        <w:t>.</w:t>
      </w:r>
    </w:p>
    <w:p w:rsidR="009C5538" w:rsidRPr="009C5538" w:rsidRDefault="009C5538" w:rsidP="009C5538">
      <w:pPr>
        <w:pStyle w:val="NormalWeb"/>
        <w:spacing w:before="0" w:beforeAutospacing="0"/>
        <w:jc w:val="both"/>
        <w:rPr>
          <w:sz w:val="28"/>
          <w:szCs w:val="28"/>
        </w:rPr>
      </w:pPr>
      <w:r w:rsidRPr="009C5538">
        <w:rPr>
          <w:sz w:val="28"/>
          <w:szCs w:val="28"/>
        </w:rPr>
        <w:t> </w:t>
      </w:r>
    </w:p>
    <w:tbl>
      <w:tblPr>
        <w:tblW w:w="9360" w:type="dxa"/>
        <w:tblInd w:w="108" w:type="dxa"/>
        <w:tblCellMar>
          <w:left w:w="0" w:type="dxa"/>
          <w:right w:w="0" w:type="dxa"/>
        </w:tblCellMar>
        <w:tblLook w:val="04A0" w:firstRow="1" w:lastRow="0" w:firstColumn="1" w:lastColumn="0" w:noHBand="0" w:noVBand="1"/>
      </w:tblPr>
      <w:tblGrid>
        <w:gridCol w:w="5235"/>
        <w:gridCol w:w="4125"/>
      </w:tblGrid>
      <w:tr w:rsidR="009C5538" w:rsidRPr="009C5538" w:rsidTr="009C5538">
        <w:tc>
          <w:tcPr>
            <w:tcW w:w="5235" w:type="dxa"/>
            <w:tcMar>
              <w:top w:w="0" w:type="dxa"/>
              <w:left w:w="108" w:type="dxa"/>
              <w:bottom w:w="0" w:type="dxa"/>
              <w:right w:w="108" w:type="dxa"/>
            </w:tcMar>
            <w:hideMark/>
          </w:tcPr>
          <w:p w:rsidR="009C5538" w:rsidRPr="009C5538" w:rsidRDefault="009C5538" w:rsidP="009C5538">
            <w:pPr>
              <w:pStyle w:val="NormalWeb"/>
              <w:spacing w:before="0" w:beforeAutospacing="0" w:after="0" w:afterAutospacing="0" w:line="330" w:lineRule="atLeast"/>
              <w:rPr>
                <w:color w:val="222222"/>
                <w:sz w:val="22"/>
                <w:szCs w:val="22"/>
              </w:rPr>
            </w:pPr>
            <w:r w:rsidRPr="009C5538">
              <w:rPr>
                <w:rStyle w:val="Emphasis"/>
                <w:b/>
                <w:bCs/>
                <w:color w:val="000000"/>
                <w:sz w:val="22"/>
                <w:szCs w:val="22"/>
              </w:rPr>
              <w:t>Nơi nhận:</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Ban Bí thư Trung ương Đảng;</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Thủ tướng, các Phó Thủ tướng Chính phủ;</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Các bộ, cơ quan ngang bộ, cơ quan thuộc Chính phủ;</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HĐND, UBND các tỉnh, thành phố trực thuộc trung ương;</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Văn phòng Trung ương và các Ban của Đảng;</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Văn phòng Tổng Bí thư;</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Văn phòng Chủ tịch nước;</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Hội đồng Dân tộc và các Ủy ban của Quốc hội;</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Văn phòng Quốc hội;</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Toà án nhân dân tối cao;</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Viện kiểm sát nhân dân tối cao;</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Ủ</w:t>
            </w:r>
            <w:r w:rsidRPr="009C5538">
              <w:rPr>
                <w:sz w:val="22"/>
                <w:szCs w:val="22"/>
              </w:rPr>
              <w:t>y ban Giám sát tài chính Quốc gia;</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Đảng ủy Khối DNTW;</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Kiểm toán Nhà nước;</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Ngân hàng Chính sách Xã hội;</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Ngân hàng Phát triển Việt Nam;</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Ủ</w:t>
            </w:r>
            <w:r w:rsidRPr="009C5538">
              <w:rPr>
                <w:sz w:val="22"/>
                <w:szCs w:val="22"/>
              </w:rPr>
              <w:t>y ban Trung ương Mặt trận Tổ quốc Việt Nam;</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Cơ quan trung ương của các đoàn thể;</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Ban Chỉ đạo Đổi mới và Phát triển doanh nghiệp;</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Các tập đoàn kinh tế và tổng công ty nhà nước;</w:t>
            </w:r>
          </w:p>
          <w:p w:rsidR="009C5538" w:rsidRPr="009C5538" w:rsidRDefault="009C5538">
            <w:pPr>
              <w:pStyle w:val="NormalWeb"/>
              <w:spacing w:before="0" w:beforeAutospacing="0" w:after="0" w:afterAutospacing="0" w:line="330" w:lineRule="atLeast"/>
              <w:rPr>
                <w:color w:val="222222"/>
                <w:sz w:val="22"/>
                <w:szCs w:val="22"/>
              </w:rPr>
            </w:pPr>
            <w:r w:rsidRPr="009C5538">
              <w:rPr>
                <w:color w:val="000000"/>
                <w:sz w:val="22"/>
                <w:szCs w:val="22"/>
              </w:rPr>
              <w:t>- </w:t>
            </w:r>
            <w:r w:rsidRPr="009C5538">
              <w:rPr>
                <w:sz w:val="22"/>
                <w:szCs w:val="22"/>
              </w:rPr>
              <w:t>VPCP: BTCN, các PCN, Trợ lý TTg, TGĐ cổng TTĐT, các Vụ, Cục, đơn vị trực thuộc, Công báo;</w:t>
            </w:r>
          </w:p>
          <w:p w:rsidR="009C5538" w:rsidRPr="009C5538" w:rsidRDefault="009C5538">
            <w:pPr>
              <w:pStyle w:val="NormalWeb"/>
              <w:spacing w:before="0" w:beforeAutospacing="0" w:after="0" w:afterAutospacing="0" w:line="330" w:lineRule="atLeast"/>
              <w:ind w:hanging="18"/>
              <w:rPr>
                <w:color w:val="222222"/>
                <w:sz w:val="22"/>
                <w:szCs w:val="22"/>
              </w:rPr>
            </w:pPr>
            <w:r w:rsidRPr="009C5538">
              <w:rPr>
                <w:color w:val="000000"/>
                <w:sz w:val="22"/>
                <w:szCs w:val="22"/>
              </w:rPr>
              <w:t>-</w:t>
            </w:r>
            <w:r w:rsidRPr="009C5538">
              <w:rPr>
                <w:sz w:val="22"/>
                <w:szCs w:val="22"/>
              </w:rPr>
              <w:t> </w:t>
            </w:r>
            <w:r w:rsidRPr="009C5538">
              <w:rPr>
                <w:color w:val="000000"/>
                <w:sz w:val="22"/>
                <w:szCs w:val="22"/>
              </w:rPr>
              <w:t>Lưu: VT, ĐMDN (2b)</w:t>
            </w:r>
            <w:r w:rsidRPr="009C5538">
              <w:rPr>
                <w:sz w:val="22"/>
                <w:szCs w:val="22"/>
              </w:rPr>
              <w:t>.</w:t>
            </w:r>
          </w:p>
        </w:tc>
        <w:tc>
          <w:tcPr>
            <w:tcW w:w="4125" w:type="dxa"/>
            <w:tcMar>
              <w:top w:w="0" w:type="dxa"/>
              <w:left w:w="108" w:type="dxa"/>
              <w:bottom w:w="0" w:type="dxa"/>
              <w:right w:w="108" w:type="dxa"/>
            </w:tcMar>
            <w:hideMark/>
          </w:tcPr>
          <w:p w:rsidR="009C5538" w:rsidRPr="009C5538" w:rsidRDefault="009C5538">
            <w:pPr>
              <w:pStyle w:val="NormalWeb"/>
              <w:spacing w:before="0" w:beforeAutospacing="0" w:after="0" w:afterAutospacing="0" w:line="330" w:lineRule="atLeast"/>
              <w:jc w:val="center"/>
              <w:rPr>
                <w:color w:val="222222"/>
                <w:sz w:val="22"/>
                <w:szCs w:val="22"/>
              </w:rPr>
            </w:pPr>
            <w:r w:rsidRPr="009C5538">
              <w:rPr>
                <w:rStyle w:val="Strong"/>
                <w:color w:val="222222"/>
                <w:sz w:val="22"/>
                <w:szCs w:val="22"/>
              </w:rPr>
              <w:t>THỦ TƯỚNG</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(Đã ký)</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color w:val="222222"/>
                <w:sz w:val="22"/>
                <w:szCs w:val="22"/>
              </w:rPr>
              <w:t> </w:t>
            </w:r>
          </w:p>
          <w:p w:rsidR="009C5538" w:rsidRPr="009C5538" w:rsidRDefault="009C5538">
            <w:pPr>
              <w:pStyle w:val="NormalWeb"/>
              <w:spacing w:before="0" w:beforeAutospacing="0" w:after="0" w:afterAutospacing="0" w:line="330" w:lineRule="atLeast"/>
              <w:jc w:val="center"/>
              <w:rPr>
                <w:color w:val="222222"/>
                <w:sz w:val="22"/>
                <w:szCs w:val="22"/>
              </w:rPr>
            </w:pPr>
            <w:r w:rsidRPr="009C5538">
              <w:rPr>
                <w:rStyle w:val="Strong"/>
                <w:color w:val="222222"/>
                <w:sz w:val="22"/>
                <w:szCs w:val="22"/>
              </w:rPr>
              <w:t>Nguyễn Xuân Phúc</w:t>
            </w:r>
          </w:p>
        </w:tc>
      </w:tr>
    </w:tbl>
    <w:p w:rsidR="009C5538" w:rsidRPr="009C5538" w:rsidRDefault="009C5538" w:rsidP="009C5538">
      <w:pPr>
        <w:pStyle w:val="NormalWeb"/>
        <w:spacing w:before="0" w:beforeAutospacing="0"/>
        <w:rPr>
          <w:rStyle w:val="Strong"/>
          <w:b w:val="0"/>
          <w:bCs w:val="0"/>
          <w:sz w:val="22"/>
          <w:szCs w:val="22"/>
        </w:rPr>
      </w:pPr>
      <w:r w:rsidRPr="009C5538">
        <w:rPr>
          <w:sz w:val="22"/>
          <w:szCs w:val="22"/>
        </w:rPr>
        <w:t> </w:t>
      </w:r>
    </w:p>
    <w:p w:rsidR="009C5538" w:rsidRDefault="009C5538" w:rsidP="009C5538">
      <w:pPr>
        <w:jc w:val="center"/>
        <w:rPr>
          <w:rStyle w:val="Strong"/>
          <w:sz w:val="28"/>
          <w:szCs w:val="28"/>
        </w:rPr>
      </w:pPr>
    </w:p>
    <w:p w:rsidR="00B24266" w:rsidRPr="0012734E" w:rsidRDefault="00B24266" w:rsidP="0012734E"/>
    <w:sectPr w:rsidR="00B24266" w:rsidRPr="0012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AC"/>
    <w:rsid w:val="00060D0E"/>
    <w:rsid w:val="00076BC3"/>
    <w:rsid w:val="0012734E"/>
    <w:rsid w:val="00381E2E"/>
    <w:rsid w:val="004D0120"/>
    <w:rsid w:val="00634101"/>
    <w:rsid w:val="008F4F08"/>
    <w:rsid w:val="0092124F"/>
    <w:rsid w:val="009C5538"/>
    <w:rsid w:val="009D5EA3"/>
    <w:rsid w:val="00B24266"/>
    <w:rsid w:val="00F3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38"/>
  </w:style>
  <w:style w:type="paragraph" w:styleId="Heading1">
    <w:name w:val="heading 1"/>
    <w:basedOn w:val="Normal"/>
    <w:link w:val="Heading1Char"/>
    <w:uiPriority w:val="9"/>
    <w:qFormat/>
    <w:rsid w:val="0007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66"/>
    <w:rPr>
      <w:b/>
      <w:bCs/>
    </w:rPr>
  </w:style>
  <w:style w:type="character" w:styleId="Hyperlink">
    <w:name w:val="Hyperlink"/>
    <w:basedOn w:val="DefaultParagraphFont"/>
    <w:uiPriority w:val="99"/>
    <w:semiHidden/>
    <w:unhideWhenUsed/>
    <w:rsid w:val="00B24266"/>
    <w:rPr>
      <w:color w:val="0000FF"/>
      <w:u w:val="single"/>
    </w:rPr>
  </w:style>
  <w:style w:type="paragraph" w:styleId="BalloonText">
    <w:name w:val="Balloon Text"/>
    <w:basedOn w:val="Normal"/>
    <w:link w:val="BalloonTextChar"/>
    <w:uiPriority w:val="99"/>
    <w:semiHidden/>
    <w:unhideWhenUsed/>
    <w:rsid w:val="00B2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6"/>
    <w:rPr>
      <w:rFonts w:ascii="Tahoma" w:hAnsi="Tahoma" w:cs="Tahoma"/>
      <w:sz w:val="16"/>
      <w:szCs w:val="16"/>
    </w:rPr>
  </w:style>
  <w:style w:type="character" w:customStyle="1" w:styleId="Heading1Char">
    <w:name w:val="Heading 1 Char"/>
    <w:basedOn w:val="DefaultParagraphFont"/>
    <w:link w:val="Heading1"/>
    <w:uiPriority w:val="9"/>
    <w:rsid w:val="00076BC3"/>
    <w:rPr>
      <w:rFonts w:ascii="Times New Roman" w:eastAsia="Times New Roman" w:hAnsi="Times New Roman" w:cs="Times New Roman"/>
      <w:b/>
      <w:bCs/>
      <w:kern w:val="36"/>
      <w:sz w:val="48"/>
      <w:szCs w:val="48"/>
    </w:rPr>
  </w:style>
  <w:style w:type="table" w:styleId="TableGrid">
    <w:name w:val="Table Grid"/>
    <w:basedOn w:val="TableNormal"/>
    <w:uiPriority w:val="59"/>
    <w:rsid w:val="009D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C55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38"/>
  </w:style>
  <w:style w:type="paragraph" w:styleId="Heading1">
    <w:name w:val="heading 1"/>
    <w:basedOn w:val="Normal"/>
    <w:link w:val="Heading1Char"/>
    <w:uiPriority w:val="9"/>
    <w:qFormat/>
    <w:rsid w:val="00076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2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66"/>
    <w:rPr>
      <w:b/>
      <w:bCs/>
    </w:rPr>
  </w:style>
  <w:style w:type="character" w:styleId="Hyperlink">
    <w:name w:val="Hyperlink"/>
    <w:basedOn w:val="DefaultParagraphFont"/>
    <w:uiPriority w:val="99"/>
    <w:semiHidden/>
    <w:unhideWhenUsed/>
    <w:rsid w:val="00B24266"/>
    <w:rPr>
      <w:color w:val="0000FF"/>
      <w:u w:val="single"/>
    </w:rPr>
  </w:style>
  <w:style w:type="paragraph" w:styleId="BalloonText">
    <w:name w:val="Balloon Text"/>
    <w:basedOn w:val="Normal"/>
    <w:link w:val="BalloonTextChar"/>
    <w:uiPriority w:val="99"/>
    <w:semiHidden/>
    <w:unhideWhenUsed/>
    <w:rsid w:val="00B24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66"/>
    <w:rPr>
      <w:rFonts w:ascii="Tahoma" w:hAnsi="Tahoma" w:cs="Tahoma"/>
      <w:sz w:val="16"/>
      <w:szCs w:val="16"/>
    </w:rPr>
  </w:style>
  <w:style w:type="character" w:customStyle="1" w:styleId="Heading1Char">
    <w:name w:val="Heading 1 Char"/>
    <w:basedOn w:val="DefaultParagraphFont"/>
    <w:link w:val="Heading1"/>
    <w:uiPriority w:val="9"/>
    <w:rsid w:val="00076BC3"/>
    <w:rPr>
      <w:rFonts w:ascii="Times New Roman" w:eastAsia="Times New Roman" w:hAnsi="Times New Roman" w:cs="Times New Roman"/>
      <w:b/>
      <w:bCs/>
      <w:kern w:val="36"/>
      <w:sz w:val="48"/>
      <w:szCs w:val="48"/>
    </w:rPr>
  </w:style>
  <w:style w:type="table" w:styleId="TableGrid">
    <w:name w:val="Table Grid"/>
    <w:basedOn w:val="TableNormal"/>
    <w:uiPriority w:val="59"/>
    <w:rsid w:val="009D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C55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147">
      <w:bodyDiv w:val="1"/>
      <w:marLeft w:val="0"/>
      <w:marRight w:val="0"/>
      <w:marTop w:val="0"/>
      <w:marBottom w:val="0"/>
      <w:divBdr>
        <w:top w:val="none" w:sz="0" w:space="0" w:color="auto"/>
        <w:left w:val="none" w:sz="0" w:space="0" w:color="auto"/>
        <w:bottom w:val="none" w:sz="0" w:space="0" w:color="auto"/>
        <w:right w:val="none" w:sz="0" w:space="0" w:color="auto"/>
      </w:divBdr>
    </w:div>
    <w:div w:id="887841689">
      <w:bodyDiv w:val="1"/>
      <w:marLeft w:val="0"/>
      <w:marRight w:val="0"/>
      <w:marTop w:val="0"/>
      <w:marBottom w:val="0"/>
      <w:divBdr>
        <w:top w:val="none" w:sz="0" w:space="0" w:color="auto"/>
        <w:left w:val="none" w:sz="0" w:space="0" w:color="auto"/>
        <w:bottom w:val="none" w:sz="0" w:space="0" w:color="auto"/>
        <w:right w:val="none" w:sz="0" w:space="0" w:color="auto"/>
      </w:divBdr>
      <w:divsChild>
        <w:div w:id="1362364741">
          <w:marLeft w:val="0"/>
          <w:marRight w:val="0"/>
          <w:marTop w:val="75"/>
          <w:marBottom w:val="75"/>
          <w:divBdr>
            <w:top w:val="none" w:sz="0" w:space="0" w:color="auto"/>
            <w:left w:val="none" w:sz="0" w:space="0" w:color="auto"/>
            <w:bottom w:val="none" w:sz="0" w:space="0" w:color="auto"/>
            <w:right w:val="none" w:sz="0" w:space="0" w:color="auto"/>
          </w:divBdr>
        </w:div>
        <w:div w:id="377437073">
          <w:marLeft w:val="0"/>
          <w:marRight w:val="0"/>
          <w:marTop w:val="75"/>
          <w:marBottom w:val="75"/>
          <w:divBdr>
            <w:top w:val="none" w:sz="0" w:space="0" w:color="auto"/>
            <w:left w:val="none" w:sz="0" w:space="0" w:color="auto"/>
            <w:bottom w:val="none" w:sz="0" w:space="0" w:color="auto"/>
            <w:right w:val="none" w:sz="0" w:space="0" w:color="auto"/>
          </w:divBdr>
        </w:div>
      </w:divsChild>
    </w:div>
    <w:div w:id="1114834284">
      <w:bodyDiv w:val="1"/>
      <w:marLeft w:val="0"/>
      <w:marRight w:val="0"/>
      <w:marTop w:val="0"/>
      <w:marBottom w:val="0"/>
      <w:divBdr>
        <w:top w:val="none" w:sz="0" w:space="0" w:color="auto"/>
        <w:left w:val="none" w:sz="0" w:space="0" w:color="auto"/>
        <w:bottom w:val="none" w:sz="0" w:space="0" w:color="auto"/>
        <w:right w:val="none" w:sz="0" w:space="0" w:color="auto"/>
      </w:divBdr>
    </w:div>
    <w:div w:id="1125390999">
      <w:bodyDiv w:val="1"/>
      <w:marLeft w:val="0"/>
      <w:marRight w:val="0"/>
      <w:marTop w:val="0"/>
      <w:marBottom w:val="0"/>
      <w:divBdr>
        <w:top w:val="none" w:sz="0" w:space="0" w:color="auto"/>
        <w:left w:val="none" w:sz="0" w:space="0" w:color="auto"/>
        <w:bottom w:val="none" w:sz="0" w:space="0" w:color="auto"/>
        <w:right w:val="none" w:sz="0" w:space="0" w:color="auto"/>
      </w:divBdr>
    </w:div>
    <w:div w:id="1191797587">
      <w:bodyDiv w:val="1"/>
      <w:marLeft w:val="0"/>
      <w:marRight w:val="0"/>
      <w:marTop w:val="0"/>
      <w:marBottom w:val="0"/>
      <w:divBdr>
        <w:top w:val="none" w:sz="0" w:space="0" w:color="auto"/>
        <w:left w:val="none" w:sz="0" w:space="0" w:color="auto"/>
        <w:bottom w:val="none" w:sz="0" w:space="0" w:color="auto"/>
        <w:right w:val="none" w:sz="0" w:space="0" w:color="auto"/>
      </w:divBdr>
    </w:div>
    <w:div w:id="1773936625">
      <w:bodyDiv w:val="1"/>
      <w:marLeft w:val="0"/>
      <w:marRight w:val="0"/>
      <w:marTop w:val="0"/>
      <w:marBottom w:val="0"/>
      <w:divBdr>
        <w:top w:val="none" w:sz="0" w:space="0" w:color="auto"/>
        <w:left w:val="none" w:sz="0" w:space="0" w:color="auto"/>
        <w:bottom w:val="none" w:sz="0" w:space="0" w:color="auto"/>
        <w:right w:val="none" w:sz="0" w:space="0" w:color="auto"/>
      </w:divBdr>
      <w:divsChild>
        <w:div w:id="958072713">
          <w:marLeft w:val="0"/>
          <w:marRight w:val="0"/>
          <w:marTop w:val="0"/>
          <w:marBottom w:val="0"/>
          <w:divBdr>
            <w:top w:val="none" w:sz="0" w:space="0" w:color="auto"/>
            <w:left w:val="none" w:sz="0" w:space="0" w:color="auto"/>
            <w:bottom w:val="none" w:sz="0" w:space="0" w:color="auto"/>
            <w:right w:val="none" w:sz="0" w:space="0" w:color="auto"/>
          </w:divBdr>
        </w:div>
        <w:div w:id="542835734">
          <w:marLeft w:val="0"/>
          <w:marRight w:val="0"/>
          <w:marTop w:val="0"/>
          <w:marBottom w:val="0"/>
          <w:divBdr>
            <w:top w:val="none" w:sz="0" w:space="0" w:color="auto"/>
            <w:left w:val="none" w:sz="0" w:space="0" w:color="auto"/>
            <w:bottom w:val="none" w:sz="0" w:space="0" w:color="auto"/>
            <w:right w:val="none" w:sz="0" w:space="0" w:color="auto"/>
          </w:divBdr>
        </w:div>
        <w:div w:id="1308703687">
          <w:marLeft w:val="0"/>
          <w:marRight w:val="0"/>
          <w:marTop w:val="0"/>
          <w:marBottom w:val="0"/>
          <w:divBdr>
            <w:top w:val="none" w:sz="0" w:space="0" w:color="auto"/>
            <w:left w:val="none" w:sz="0" w:space="0" w:color="auto"/>
            <w:bottom w:val="none" w:sz="0" w:space="0" w:color="auto"/>
            <w:right w:val="none" w:sz="0" w:space="0" w:color="auto"/>
          </w:divBdr>
        </w:div>
      </w:divsChild>
    </w:div>
    <w:div w:id="2072381364">
      <w:bodyDiv w:val="1"/>
      <w:marLeft w:val="0"/>
      <w:marRight w:val="0"/>
      <w:marTop w:val="0"/>
      <w:marBottom w:val="0"/>
      <w:divBdr>
        <w:top w:val="none" w:sz="0" w:space="0" w:color="auto"/>
        <w:left w:val="none" w:sz="0" w:space="0" w:color="auto"/>
        <w:bottom w:val="none" w:sz="0" w:space="0" w:color="auto"/>
        <w:right w:val="none" w:sz="0" w:space="0" w:color="auto"/>
      </w:divBdr>
      <w:divsChild>
        <w:div w:id="211813113">
          <w:marLeft w:val="0"/>
          <w:marRight w:val="0"/>
          <w:marTop w:val="75"/>
          <w:marBottom w:val="75"/>
          <w:divBdr>
            <w:top w:val="none" w:sz="0" w:space="0" w:color="auto"/>
            <w:left w:val="none" w:sz="0" w:space="0" w:color="auto"/>
            <w:bottom w:val="none" w:sz="0" w:space="0" w:color="auto"/>
            <w:right w:val="none" w:sz="0" w:space="0" w:color="auto"/>
          </w:divBdr>
        </w:div>
        <w:div w:id="467481834">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183DC-AD82-4835-A50E-9D7E5CC93921}"/>
</file>

<file path=customXml/itemProps2.xml><?xml version="1.0" encoding="utf-8"?>
<ds:datastoreItem xmlns:ds="http://schemas.openxmlformats.org/officeDocument/2006/customXml" ds:itemID="{404A5FAF-26DC-4CD9-B527-F78A81E574A4}"/>
</file>

<file path=customXml/itemProps3.xml><?xml version="1.0" encoding="utf-8"?>
<ds:datastoreItem xmlns:ds="http://schemas.openxmlformats.org/officeDocument/2006/customXml" ds:itemID="{7C673C09-6C5A-4867-8D7D-3602730D39F8}"/>
</file>

<file path=docProps/app.xml><?xml version="1.0" encoding="utf-8"?>
<Properties xmlns="http://schemas.openxmlformats.org/officeDocument/2006/extended-properties" xmlns:vt="http://schemas.openxmlformats.org/officeDocument/2006/docPropsVTypes">
  <Template>Normal</Template>
  <TotalTime>4</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VuTuLE</dc:creator>
  <cp:lastModifiedBy>VuTuLE</cp:lastModifiedBy>
  <cp:revision>3</cp:revision>
  <cp:lastPrinted>2019-06-20T21:31:00Z</cp:lastPrinted>
  <dcterms:created xsi:type="dcterms:W3CDTF">2019-08-22T22:23:00Z</dcterms:created>
  <dcterms:modified xsi:type="dcterms:W3CDTF">2019-08-22T22:26:00Z</dcterms:modified>
</cp:coreProperties>
</file>